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  <w:r w:rsidRPr="00774721">
        <w:rPr>
          <w:rFonts w:ascii="Arial" w:eastAsia="MS Mincho" w:hAnsi="Arial" w:cs="Arial"/>
          <w:b/>
          <w:kern w:val="0"/>
          <w:sz w:val="24"/>
          <w:szCs w:val="24"/>
          <w:lang w:eastAsia="ja-JP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P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</w:pPr>
      <w:r w:rsidRPr="00774721"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>AUGUST, 2024 EXAMINATION SERIES</w:t>
      </w:r>
    </w:p>
    <w:p w:rsidR="00774721" w:rsidRPr="00774721" w:rsidRDefault="00774721" w:rsidP="00774721">
      <w:pPr>
        <w:tabs>
          <w:tab w:val="left" w:pos="567"/>
          <w:tab w:val="right" w:pos="9639"/>
        </w:tabs>
        <w:spacing w:after="0" w:line="276" w:lineRule="auto"/>
        <w:ind w:right="1264"/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</w:pPr>
      <w:r w:rsidRPr="00774721"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>COURSE: DWET</w:t>
      </w:r>
    </w:p>
    <w:p w:rsidR="00774721" w:rsidRPr="00774721" w:rsidRDefault="00774721" w:rsidP="00774721">
      <w:pPr>
        <w:tabs>
          <w:tab w:val="left" w:pos="567"/>
          <w:tab w:val="right" w:pos="9639"/>
        </w:tabs>
        <w:spacing w:after="0" w:line="276" w:lineRule="auto"/>
        <w:ind w:right="1264"/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</w:pPr>
      <w:r w:rsidRPr="00774721"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>LEVEL:</w:t>
      </w:r>
      <w:r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 xml:space="preserve"> </w:t>
      </w:r>
      <w:r w:rsidRPr="00774721"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>Y3</w:t>
      </w:r>
      <w:r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 xml:space="preserve"> </w:t>
      </w:r>
      <w:r w:rsidRPr="00774721"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>S2</w:t>
      </w:r>
    </w:p>
    <w:p w:rsidR="00774721" w:rsidRPr="00774721" w:rsidRDefault="00774721" w:rsidP="00774721">
      <w:pPr>
        <w:tabs>
          <w:tab w:val="left" w:pos="567"/>
          <w:tab w:val="right" w:pos="9639"/>
        </w:tabs>
        <w:spacing w:after="0" w:line="276" w:lineRule="auto"/>
        <w:ind w:right="1264"/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</w:pPr>
    </w:p>
    <w:p w:rsidR="00617755" w:rsidRPr="00774721" w:rsidRDefault="00774721" w:rsidP="00774721">
      <w:pPr>
        <w:tabs>
          <w:tab w:val="left" w:pos="567"/>
          <w:tab w:val="right" w:pos="9639"/>
        </w:tabs>
        <w:spacing w:after="0" w:line="276" w:lineRule="auto"/>
        <w:ind w:right="1264"/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</w:pPr>
      <w:r w:rsidRPr="00774721"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>SUBJECT:</w:t>
      </w:r>
      <w:r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 xml:space="preserve"> </w:t>
      </w:r>
      <w:r w:rsidR="00617755" w:rsidRPr="00774721">
        <w:rPr>
          <w:rFonts w:ascii="Times New Roman" w:eastAsia="MS Mincho" w:hAnsi="Times New Roman" w:cs="Times New Roman"/>
          <w:b/>
          <w:kern w:val="0"/>
          <w:sz w:val="44"/>
          <w:szCs w:val="44"/>
          <w:lang w:eastAsia="ja-JP"/>
        </w:rPr>
        <w:t xml:space="preserve">NRW MANAGEMENT </w:t>
      </w: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617755">
      <w:pPr>
        <w:tabs>
          <w:tab w:val="left" w:pos="567"/>
          <w:tab w:val="right" w:pos="9639"/>
        </w:tabs>
        <w:spacing w:after="0" w:line="276" w:lineRule="auto"/>
        <w:ind w:right="1264"/>
        <w:jc w:val="center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774721" w:rsidRDefault="00774721" w:rsidP="00774721">
      <w:pPr>
        <w:tabs>
          <w:tab w:val="left" w:pos="567"/>
          <w:tab w:val="right" w:pos="9639"/>
        </w:tabs>
        <w:spacing w:after="0" w:line="276" w:lineRule="auto"/>
        <w:ind w:right="1264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</w:p>
    <w:p w:rsidR="00217666" w:rsidRPr="00617755" w:rsidRDefault="00617755" w:rsidP="00774721">
      <w:pPr>
        <w:tabs>
          <w:tab w:val="left" w:pos="567"/>
          <w:tab w:val="right" w:pos="9639"/>
        </w:tabs>
        <w:spacing w:after="0" w:line="276" w:lineRule="auto"/>
        <w:ind w:right="1264"/>
        <w:rPr>
          <w:rFonts w:ascii="Arial" w:eastAsia="MS Mincho" w:hAnsi="Arial" w:cs="Arial"/>
          <w:b/>
          <w:kern w:val="0"/>
          <w:sz w:val="24"/>
          <w:szCs w:val="24"/>
          <w:lang w:eastAsia="ja-JP"/>
        </w:rPr>
      </w:pPr>
      <w:r w:rsidRPr="00617755">
        <w:rPr>
          <w:rFonts w:ascii="Arial" w:eastAsia="MS Mincho" w:hAnsi="Arial" w:cs="Arial"/>
          <w:b/>
          <w:kern w:val="0"/>
          <w:sz w:val="24"/>
          <w:szCs w:val="24"/>
          <w:lang w:eastAsia="ja-JP"/>
        </w:rPr>
        <w:lastRenderedPageBreak/>
        <w:t>SECTION A (40 MARKS)</w:t>
      </w:r>
    </w:p>
    <w:p w:rsidR="00D23456" w:rsidRPr="00617755" w:rsidRDefault="00617755" w:rsidP="0061775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7755">
        <w:rPr>
          <w:rFonts w:ascii="Arial" w:eastAsia="MS Mincho" w:hAnsi="Arial" w:cs="Arial"/>
          <w:b/>
          <w:kern w:val="0"/>
          <w:sz w:val="24"/>
          <w:szCs w:val="24"/>
          <w:lang w:eastAsia="ja-JP"/>
        </w:rPr>
        <w:t>ANSWER ALL QUESTIONS IN THIS SECTION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5"/>
        <w:gridCol w:w="7417"/>
        <w:gridCol w:w="1559"/>
      </w:tblGrid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Identify THREE primary tools and equipment used for collecting data in water demand analysis for Non-Revenue Water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(3 marks) 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Identify THREE key tools used for detecting leaks in water supply systems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Explain THREE importance of mapping the distribution system in managing non-revenue water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State THREE ways one can identify a non-visible leak without the use of tools or equipment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Highlight THREE strategies that can be employed to reduce technical losses in a water distribution network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A water utility company has a system input volume of 500,000 liters per day. The authorized consumption, including billed and unbilled authorized consumption, amounts to 400,000 liters per day. Calculate the volume of Non-Revenue Water (NRW) in percentage 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Identify THREE primary tools used for detecting commercial losses in water distribution systems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State THREE data sources that can be used to identify points of commercial losses in a water distribution network.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List FOUR main causes of commercial losses in water utilities.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(4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Explain TWO importance of testing water meters during or after installation to the customers 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(4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11. 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Identify THREE types of water meters 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Explain how Pipeline Connections Impact non-revenue water management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Identify TWO types of valves used in the water distribution systems when installing meters.</w:t>
            </w: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(2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2"/>
          </w:tcPr>
          <w:p w:rsidR="00774721" w:rsidRDefault="00774721" w:rsidP="0061775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775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B</w:t>
            </w:r>
          </w:p>
          <w:p w:rsidR="00617755" w:rsidRPr="00617755" w:rsidRDefault="00617755" w:rsidP="0061775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755">
              <w:rPr>
                <w:rFonts w:ascii="Arial" w:hAnsi="Arial" w:cs="Arial"/>
                <w:b/>
                <w:iCs/>
                <w:sz w:val="24"/>
                <w:szCs w:val="24"/>
              </w:rPr>
              <w:t>ANSWER QUESTION 14 AND ANY OTHER TWO QUESTIONS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The water utility company in an unspecified region is experiencing difficulties with non-revenue water (NRW), which encompasses physical losses from leaks, commercial losses, and apparent losses. To tackle this problem, the utility company plans to perform a water balance analysis to pinpoint inefficiencies and formulate strategies to reduce NRW.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Use the Data provided below to answer the questions that follows 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Water produced: 10,000 cubic meters/day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Metered customer consumption: 7,200 cubic meters/day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Unmetered authorized consumption: 800 cubic meters/day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Water losses due to leaks: 1,000 cubic meters/day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Calculate: 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Total authorized consumption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Total water losses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Non-Revenue Water (NRW) volume 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Non-Revenue Water (NRW) percentage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Propose THREE measures to reduce NRW based on the findings of the water balance analysis. </w:t>
            </w:r>
            <w:r w:rsidRPr="00617755">
              <w:rPr>
                <w:rFonts w:ascii="Arial" w:hAnsi="Arial" w:cs="Arial"/>
                <w:sz w:val="24"/>
                <w:szCs w:val="24"/>
              </w:rPr>
              <w:tab/>
            </w:r>
            <w:r w:rsidRPr="00617755">
              <w:rPr>
                <w:rFonts w:ascii="Arial" w:hAnsi="Arial" w:cs="Arial"/>
                <w:sz w:val="24"/>
                <w:szCs w:val="24"/>
              </w:rPr>
              <w:tab/>
            </w:r>
            <w:r w:rsidRPr="0061775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(4 marks)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(4 marks)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(3 marks)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(6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15.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,,,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A water meter reader is a professional tasked with gathering water usage data from residential, commercial, and industrial properties.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Explore FIVE challenges faced by the mentioned professionals in performing their duties.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Discuss FIVE strategies for overcoming the challenges stated in 15 (a) above.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(10 marks)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617755">
              <w:rPr>
                <w:rFonts w:ascii="Arial" w:hAnsi="Arial" w:cs="Arial"/>
                <w:sz w:val="24"/>
                <w:szCs w:val="24"/>
              </w:rPr>
              <w:t>(10 marks)</w:t>
            </w:r>
          </w:p>
        </w:tc>
      </w:tr>
      <w:tr w:rsidR="00617755" w:rsidRPr="00617755" w:rsidTr="00617755"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16.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Examine the relationships between customer meter tampering and commercial losses. 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 xml:space="preserve">Explain FOUR measures that water utilities take to detect and prevent meter tampering. 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Describe the process for establishing a service connection and installing a customer's meter.</w:t>
            </w:r>
            <w:r w:rsidRPr="0061775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(2 marks)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(8 marks)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(10 marks)</w:t>
            </w:r>
          </w:p>
        </w:tc>
      </w:tr>
      <w:tr w:rsidR="00617755" w:rsidRPr="00617755" w:rsidTr="00617755">
        <w:trPr>
          <w:trHeight w:val="3023"/>
        </w:trPr>
        <w:tc>
          <w:tcPr>
            <w:tcW w:w="805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7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Discuss impact of administrative errors and inaccuracies in customer data on commercial losses in water utilities.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Identify FIVE strategies that can be implemented to minimize these errors and improve revenue collection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Explain FIVE primary elements that should be included in a reconnaissance report.</w:t>
            </w:r>
          </w:p>
        </w:tc>
        <w:tc>
          <w:tcPr>
            <w:tcW w:w="1559" w:type="dxa"/>
          </w:tcPr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(5 marks)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(5 marks)</w:t>
            </w: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17755" w:rsidRPr="00617755" w:rsidRDefault="00617755" w:rsidP="0061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7755">
              <w:rPr>
                <w:rFonts w:ascii="Arial" w:hAnsi="Arial" w:cs="Arial"/>
                <w:sz w:val="24"/>
                <w:szCs w:val="24"/>
              </w:rPr>
              <w:t>(10 marks)</w:t>
            </w:r>
          </w:p>
        </w:tc>
      </w:tr>
    </w:tbl>
    <w:p w:rsidR="00217666" w:rsidRPr="00617755" w:rsidRDefault="00217666" w:rsidP="00617755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17666" w:rsidRPr="00617755" w:rsidSect="00946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6A16"/>
    <w:multiLevelType w:val="hybridMultilevel"/>
    <w:tmpl w:val="27F434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225C"/>
    <w:multiLevelType w:val="multilevel"/>
    <w:tmpl w:val="AEF0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073B8B"/>
    <w:multiLevelType w:val="hybridMultilevel"/>
    <w:tmpl w:val="F0BAA3F0"/>
    <w:lvl w:ilvl="0" w:tplc="3F8C338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52F65"/>
    <w:multiLevelType w:val="hybridMultilevel"/>
    <w:tmpl w:val="E054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A2E9D"/>
    <w:multiLevelType w:val="hybridMultilevel"/>
    <w:tmpl w:val="77E2A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51092"/>
    <w:multiLevelType w:val="hybridMultilevel"/>
    <w:tmpl w:val="491C37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C6F6C"/>
    <w:multiLevelType w:val="hybridMultilevel"/>
    <w:tmpl w:val="81D40F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BF2DFE"/>
    <w:multiLevelType w:val="hybridMultilevel"/>
    <w:tmpl w:val="4FDAC2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063E2"/>
    <w:multiLevelType w:val="hybridMultilevel"/>
    <w:tmpl w:val="11AEB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9333A"/>
    <w:multiLevelType w:val="hybridMultilevel"/>
    <w:tmpl w:val="29EC9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43379"/>
    <w:multiLevelType w:val="hybridMultilevel"/>
    <w:tmpl w:val="491C3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A13CD"/>
    <w:multiLevelType w:val="hybridMultilevel"/>
    <w:tmpl w:val="98B4A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63A"/>
    <w:rsid w:val="00010419"/>
    <w:rsid w:val="00100674"/>
    <w:rsid w:val="00190122"/>
    <w:rsid w:val="001D673C"/>
    <w:rsid w:val="002079D2"/>
    <w:rsid w:val="00211BF1"/>
    <w:rsid w:val="00217666"/>
    <w:rsid w:val="0024014B"/>
    <w:rsid w:val="00273F06"/>
    <w:rsid w:val="002C1E0C"/>
    <w:rsid w:val="00364746"/>
    <w:rsid w:val="00412725"/>
    <w:rsid w:val="00587B3E"/>
    <w:rsid w:val="005E66F4"/>
    <w:rsid w:val="00617755"/>
    <w:rsid w:val="0062663A"/>
    <w:rsid w:val="00665508"/>
    <w:rsid w:val="00670F8C"/>
    <w:rsid w:val="006C3FDE"/>
    <w:rsid w:val="00767BCF"/>
    <w:rsid w:val="00774721"/>
    <w:rsid w:val="00822E48"/>
    <w:rsid w:val="0083732D"/>
    <w:rsid w:val="00857844"/>
    <w:rsid w:val="00875A95"/>
    <w:rsid w:val="0092639D"/>
    <w:rsid w:val="0094696D"/>
    <w:rsid w:val="009A033D"/>
    <w:rsid w:val="009A298C"/>
    <w:rsid w:val="009B3AD2"/>
    <w:rsid w:val="00B4385F"/>
    <w:rsid w:val="00B85C6C"/>
    <w:rsid w:val="00C262B8"/>
    <w:rsid w:val="00CC1627"/>
    <w:rsid w:val="00D23456"/>
    <w:rsid w:val="00EA42C8"/>
    <w:rsid w:val="00EF6026"/>
    <w:rsid w:val="00F421B0"/>
    <w:rsid w:val="00FC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666"/>
    <w:pPr>
      <w:ind w:left="720"/>
      <w:contextualSpacing/>
    </w:pPr>
  </w:style>
  <w:style w:type="table" w:styleId="TableGrid">
    <w:name w:val="Table Grid"/>
    <w:basedOn w:val="TableNormal"/>
    <w:uiPriority w:val="39"/>
    <w:rsid w:val="0021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Library_2</cp:lastModifiedBy>
  <cp:revision>4</cp:revision>
  <dcterms:created xsi:type="dcterms:W3CDTF">2024-07-26T13:05:00Z</dcterms:created>
  <dcterms:modified xsi:type="dcterms:W3CDTF">2024-10-15T06:17:00Z</dcterms:modified>
</cp:coreProperties>
</file>